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4C2" w:rsidRPr="00914371" w:rsidRDefault="00A464C2" w:rsidP="00AB29AC">
      <w:pPr>
        <w:spacing w:after="0" w:line="480" w:lineRule="auto"/>
        <w:jc w:val="center"/>
        <w:rPr>
          <w:rFonts w:ascii="Times New Roman" w:eastAsia="Times New Roman" w:hAnsi="Times New Roman" w:cs="Times New Roman"/>
          <w:b/>
          <w:color w:val="1D1D1D"/>
          <w:sz w:val="24"/>
          <w:szCs w:val="24"/>
        </w:rPr>
      </w:pPr>
      <w:r w:rsidRPr="00914371">
        <w:rPr>
          <w:rFonts w:ascii="Times New Roman" w:eastAsia="Times New Roman" w:hAnsi="Times New Roman" w:cs="Times New Roman"/>
          <w:b/>
          <w:color w:val="1D1D1D"/>
          <w:sz w:val="24"/>
          <w:szCs w:val="24"/>
        </w:rPr>
        <w:t>Drug Interaction: Diltiazem and Cyclosporine</w:t>
      </w:r>
      <w:bookmarkStart w:id="0" w:name="_GoBack"/>
      <w:bookmarkEnd w:id="0"/>
    </w:p>
    <w:p w:rsidR="00897EEA" w:rsidRPr="00914371" w:rsidRDefault="00A464C2" w:rsidP="00A464C2">
      <w:pPr>
        <w:spacing w:after="0" w:line="480" w:lineRule="auto"/>
        <w:rPr>
          <w:rFonts w:ascii="Times New Roman" w:eastAsia="Times New Roman" w:hAnsi="Times New Roman" w:cs="Times New Roman"/>
          <w:b/>
          <w:color w:val="1D1D1D"/>
          <w:sz w:val="24"/>
          <w:szCs w:val="24"/>
        </w:rPr>
      </w:pPr>
      <w:r w:rsidRPr="00914371">
        <w:rPr>
          <w:rFonts w:ascii="Times New Roman" w:eastAsia="Times New Roman" w:hAnsi="Times New Roman" w:cs="Times New Roman"/>
          <w:b/>
          <w:color w:val="1D1D1D"/>
          <w:sz w:val="24"/>
          <w:szCs w:val="24"/>
        </w:rPr>
        <w:t>T</w:t>
      </w:r>
      <w:r w:rsidR="00897EEA" w:rsidRPr="00914371">
        <w:rPr>
          <w:rFonts w:ascii="Times New Roman" w:eastAsia="Times New Roman" w:hAnsi="Times New Roman" w:cs="Times New Roman"/>
          <w:b/>
          <w:color w:val="1D1D1D"/>
          <w:sz w:val="24"/>
          <w:szCs w:val="24"/>
        </w:rPr>
        <w:t>he mechanism of action and pharm</w:t>
      </w:r>
      <w:r w:rsidRPr="00914371">
        <w:rPr>
          <w:rFonts w:ascii="Times New Roman" w:eastAsia="Times New Roman" w:hAnsi="Times New Roman" w:cs="Times New Roman"/>
          <w:b/>
          <w:color w:val="1D1D1D"/>
          <w:sz w:val="24"/>
          <w:szCs w:val="24"/>
        </w:rPr>
        <w:t>acokinetic profile of each drug</w:t>
      </w:r>
    </w:p>
    <w:p w:rsidR="00A464C2" w:rsidRPr="00914371" w:rsidRDefault="00A464C2" w:rsidP="00A464C2">
      <w:pPr>
        <w:spacing w:after="0" w:line="480" w:lineRule="auto"/>
        <w:rPr>
          <w:rFonts w:ascii="Times New Roman" w:eastAsia="Times New Roman" w:hAnsi="Times New Roman" w:cs="Times New Roman"/>
          <w:b/>
          <w:color w:val="1D1D1D"/>
          <w:sz w:val="24"/>
          <w:szCs w:val="24"/>
        </w:rPr>
      </w:pPr>
      <w:r w:rsidRPr="00914371">
        <w:rPr>
          <w:rFonts w:ascii="Times New Roman" w:eastAsia="Times New Roman" w:hAnsi="Times New Roman" w:cs="Times New Roman"/>
          <w:b/>
          <w:color w:val="1D1D1D"/>
          <w:sz w:val="24"/>
          <w:szCs w:val="24"/>
        </w:rPr>
        <w:t>Diltiazem</w:t>
      </w:r>
    </w:p>
    <w:p w:rsidR="00897EEA" w:rsidRPr="00914371" w:rsidRDefault="00897EEA" w:rsidP="00A464C2">
      <w:pPr>
        <w:spacing w:after="0" w:line="480" w:lineRule="auto"/>
        <w:ind w:firstLine="720"/>
        <w:rPr>
          <w:rFonts w:ascii="Times New Roman" w:eastAsia="Times New Roman" w:hAnsi="Times New Roman" w:cs="Times New Roman"/>
          <w:color w:val="1D1D1D"/>
          <w:sz w:val="24"/>
          <w:szCs w:val="24"/>
        </w:rPr>
      </w:pPr>
      <w:r w:rsidRPr="00914371">
        <w:rPr>
          <w:rFonts w:ascii="Times New Roman" w:eastAsia="Times New Roman" w:hAnsi="Times New Roman" w:cs="Times New Roman"/>
          <w:color w:val="1D1D1D"/>
          <w:sz w:val="24"/>
          <w:szCs w:val="24"/>
        </w:rPr>
        <w:t>The class of medications that diltiazem belongs to is known as calcium-chain blockers. The use of the drug is or controlling angina (chest pain), and the treatment of high blood pressure. Other than relaxing the blood vessels to reduce the stress on the heart, diltiazem also increases the he</w:t>
      </w:r>
      <w:r w:rsidR="00DE0A3D">
        <w:rPr>
          <w:rFonts w:ascii="Times New Roman" w:eastAsia="Times New Roman" w:hAnsi="Times New Roman" w:cs="Times New Roman"/>
          <w:color w:val="1D1D1D"/>
          <w:sz w:val="24"/>
          <w:szCs w:val="24"/>
        </w:rPr>
        <w:t>art's supply of oxygen and blood</w:t>
      </w:r>
      <w:r w:rsidR="00850F7B">
        <w:rPr>
          <w:rStyle w:val="EndnoteReference"/>
          <w:rFonts w:ascii="Times New Roman" w:eastAsia="Times New Roman" w:hAnsi="Times New Roman" w:cs="Times New Roman"/>
          <w:color w:val="1D1D1D"/>
          <w:sz w:val="24"/>
          <w:szCs w:val="24"/>
        </w:rPr>
        <w:endnoteReference w:id="1"/>
      </w:r>
      <w:r w:rsidR="00DE0A3D">
        <w:rPr>
          <w:rFonts w:ascii="Times New Roman" w:eastAsia="Times New Roman" w:hAnsi="Times New Roman" w:cs="Times New Roman"/>
          <w:color w:val="1D1D1D"/>
          <w:sz w:val="24"/>
          <w:szCs w:val="24"/>
        </w:rPr>
        <w:t xml:space="preserve"> </w:t>
      </w:r>
      <w:r w:rsidRPr="00914371">
        <w:rPr>
          <w:rFonts w:ascii="Times New Roman" w:eastAsia="Times New Roman" w:hAnsi="Times New Roman" w:cs="Times New Roman"/>
          <w:color w:val="1D1D1D"/>
          <w:sz w:val="24"/>
          <w:szCs w:val="24"/>
        </w:rPr>
        <w:t xml:space="preserve">The drug </w:t>
      </w:r>
      <w:r w:rsidR="002445BA">
        <w:rPr>
          <w:rFonts w:ascii="Times New Roman" w:eastAsia="Times New Roman" w:hAnsi="Times New Roman" w:cs="Times New Roman"/>
          <w:color w:val="1D1D1D"/>
          <w:sz w:val="24"/>
          <w:szCs w:val="24"/>
        </w:rPr>
        <w:t xml:space="preserve">enhances </w:t>
      </w:r>
      <w:r w:rsidR="002445BA" w:rsidRPr="00914371">
        <w:rPr>
          <w:rFonts w:ascii="Times New Roman" w:eastAsia="Times New Roman" w:hAnsi="Times New Roman" w:cs="Times New Roman"/>
          <w:color w:val="1D1D1D"/>
          <w:sz w:val="24"/>
          <w:szCs w:val="24"/>
        </w:rPr>
        <w:t>premature</w:t>
      </w:r>
      <w:r w:rsidR="00914371">
        <w:rPr>
          <w:rFonts w:ascii="Times New Roman" w:eastAsia="Times New Roman" w:hAnsi="Times New Roman" w:cs="Times New Roman"/>
          <w:color w:val="1D1D1D"/>
          <w:sz w:val="24"/>
          <w:szCs w:val="24"/>
        </w:rPr>
        <w:t xml:space="preserve"> </w:t>
      </w:r>
      <w:r w:rsidR="002445BA">
        <w:rPr>
          <w:rFonts w:ascii="Times New Roman" w:eastAsia="Times New Roman" w:hAnsi="Times New Roman" w:cs="Times New Roman"/>
          <w:color w:val="1D1D1D"/>
          <w:sz w:val="24"/>
          <w:szCs w:val="24"/>
        </w:rPr>
        <w:t xml:space="preserve">diastolic </w:t>
      </w:r>
      <w:r w:rsidRPr="00914371">
        <w:rPr>
          <w:rFonts w:ascii="Times New Roman" w:eastAsia="Times New Roman" w:hAnsi="Times New Roman" w:cs="Times New Roman"/>
          <w:color w:val="1D1D1D"/>
          <w:sz w:val="24"/>
          <w:szCs w:val="24"/>
        </w:rPr>
        <w:t xml:space="preserve">ventricular relaxation </w:t>
      </w:r>
      <w:r w:rsidR="002445BA">
        <w:rPr>
          <w:rFonts w:ascii="Times New Roman" w:eastAsia="Times New Roman" w:hAnsi="Times New Roman" w:cs="Times New Roman"/>
          <w:color w:val="1D1D1D"/>
          <w:sz w:val="24"/>
          <w:szCs w:val="24"/>
        </w:rPr>
        <w:t xml:space="preserve">on the left </w:t>
      </w:r>
      <w:r w:rsidRPr="00914371">
        <w:rPr>
          <w:rFonts w:ascii="Times New Roman" w:eastAsia="Times New Roman" w:hAnsi="Times New Roman" w:cs="Times New Roman"/>
          <w:color w:val="1D1D1D"/>
          <w:sz w:val="24"/>
          <w:szCs w:val="24"/>
        </w:rPr>
        <w:t>in hypertrophic cardiomyopathy. The functioning of diltiaze</w:t>
      </w:r>
      <w:r w:rsidR="002445BA">
        <w:rPr>
          <w:rFonts w:ascii="Times New Roman" w:eastAsia="Times New Roman" w:hAnsi="Times New Roman" w:cs="Times New Roman"/>
          <w:color w:val="1D1D1D"/>
          <w:sz w:val="24"/>
          <w:szCs w:val="24"/>
        </w:rPr>
        <w:t>m reduces systolic calcium entrance</w:t>
      </w:r>
      <w:r w:rsidRPr="00914371">
        <w:rPr>
          <w:rFonts w:ascii="Times New Roman" w:eastAsia="Times New Roman" w:hAnsi="Times New Roman" w:cs="Times New Roman"/>
          <w:color w:val="1D1D1D"/>
          <w:sz w:val="24"/>
          <w:szCs w:val="24"/>
        </w:rPr>
        <w:t xml:space="preserve"> into automatic and myocardial cells</w:t>
      </w:r>
      <w:r w:rsidR="002445BA">
        <w:rPr>
          <w:rFonts w:ascii="Times New Roman" w:eastAsia="Times New Roman" w:hAnsi="Times New Roman" w:cs="Times New Roman"/>
          <w:color w:val="1D1D1D"/>
          <w:sz w:val="24"/>
          <w:szCs w:val="24"/>
        </w:rPr>
        <w:t xml:space="preserve">, </w:t>
      </w:r>
      <w:r w:rsidRPr="00914371">
        <w:rPr>
          <w:rFonts w:ascii="Times New Roman" w:eastAsia="Times New Roman" w:hAnsi="Times New Roman" w:cs="Times New Roman"/>
          <w:color w:val="1D1D1D"/>
          <w:sz w:val="24"/>
          <w:szCs w:val="24"/>
        </w:rPr>
        <w:t xml:space="preserve">and </w:t>
      </w:r>
      <w:r w:rsidR="002445BA">
        <w:rPr>
          <w:rFonts w:ascii="Times New Roman" w:eastAsia="Times New Roman" w:hAnsi="Times New Roman" w:cs="Times New Roman"/>
          <w:color w:val="1D1D1D"/>
          <w:sz w:val="24"/>
          <w:szCs w:val="24"/>
        </w:rPr>
        <w:t xml:space="preserve">while in the heart it </w:t>
      </w:r>
      <w:r w:rsidRPr="00914371">
        <w:rPr>
          <w:rFonts w:ascii="Times New Roman" w:eastAsia="Times New Roman" w:hAnsi="Times New Roman" w:cs="Times New Roman"/>
          <w:color w:val="1D1D1D"/>
          <w:sz w:val="24"/>
          <w:szCs w:val="24"/>
        </w:rPr>
        <w:t xml:space="preserve">binds L-type calcium channels. Diltiazem prevents coronary artery spasms provoked by ergonovine and spontaneity. For normotensive individuals, the drug brings about a modest fall in blood pressure and </w:t>
      </w:r>
      <w:r w:rsidR="00850F7B">
        <w:rPr>
          <w:rFonts w:ascii="Times New Roman" w:eastAsia="Times New Roman" w:hAnsi="Times New Roman" w:cs="Times New Roman"/>
          <w:color w:val="1D1D1D"/>
          <w:sz w:val="24"/>
          <w:szCs w:val="24"/>
        </w:rPr>
        <w:t xml:space="preserve">a reduction </w:t>
      </w:r>
      <w:r w:rsidRPr="00914371">
        <w:rPr>
          <w:rFonts w:ascii="Times New Roman" w:eastAsia="Times New Roman" w:hAnsi="Times New Roman" w:cs="Times New Roman"/>
          <w:color w:val="1D1D1D"/>
          <w:sz w:val="24"/>
          <w:szCs w:val="24"/>
        </w:rPr>
        <w:t>in peripheral vascular resistance.</w:t>
      </w:r>
    </w:p>
    <w:p w:rsidR="00A464C2" w:rsidRPr="00914371" w:rsidRDefault="00A464C2" w:rsidP="00A464C2">
      <w:pPr>
        <w:spacing w:after="0" w:line="480" w:lineRule="auto"/>
        <w:rPr>
          <w:rFonts w:ascii="Times New Roman" w:eastAsia="Times New Roman" w:hAnsi="Times New Roman" w:cs="Times New Roman"/>
          <w:b/>
          <w:color w:val="1D1D1D"/>
          <w:sz w:val="24"/>
          <w:szCs w:val="24"/>
        </w:rPr>
      </w:pPr>
      <w:r w:rsidRPr="00914371">
        <w:rPr>
          <w:rFonts w:ascii="Times New Roman" w:eastAsia="Times New Roman" w:hAnsi="Times New Roman" w:cs="Times New Roman"/>
          <w:b/>
          <w:color w:val="1D1D1D"/>
          <w:sz w:val="24"/>
          <w:szCs w:val="24"/>
        </w:rPr>
        <w:t xml:space="preserve">Cyclosporine </w:t>
      </w:r>
    </w:p>
    <w:p w:rsidR="00897EEA" w:rsidRPr="00914371" w:rsidRDefault="00897EEA" w:rsidP="00A464C2">
      <w:pPr>
        <w:spacing w:after="0" w:line="480" w:lineRule="auto"/>
        <w:ind w:firstLine="720"/>
        <w:rPr>
          <w:rFonts w:ascii="Times New Roman" w:eastAsia="Times New Roman" w:hAnsi="Times New Roman" w:cs="Times New Roman"/>
          <w:color w:val="1D1D1D"/>
          <w:sz w:val="24"/>
          <w:szCs w:val="24"/>
        </w:rPr>
      </w:pPr>
      <w:r w:rsidRPr="00914371">
        <w:rPr>
          <w:rFonts w:ascii="Times New Roman" w:eastAsia="Times New Roman" w:hAnsi="Times New Roman" w:cs="Times New Roman"/>
          <w:color w:val="1D1D1D"/>
          <w:sz w:val="24"/>
          <w:szCs w:val="24"/>
        </w:rPr>
        <w:t>Cyclosporine treats a variety of autoimmune and inflammatory diseases and prevents rejection of organ transplant through its immunomodulatory properties. As a calcineurin inhibitor, the drug prevents the activation of T-cells. The drug binds with cyclophilin-1 receptors in the cells to form complex cyclosporine-cyclophilin</w:t>
      </w:r>
      <w:r w:rsidR="00850F7B">
        <w:rPr>
          <w:rStyle w:val="EndnoteReference"/>
          <w:rFonts w:ascii="Times New Roman" w:eastAsia="Times New Roman" w:hAnsi="Times New Roman" w:cs="Times New Roman"/>
          <w:color w:val="1D1D1D"/>
          <w:sz w:val="24"/>
          <w:szCs w:val="24"/>
        </w:rPr>
        <w:endnoteReference w:id="2"/>
      </w:r>
      <w:r w:rsidRPr="00914371">
        <w:rPr>
          <w:rFonts w:ascii="Times New Roman" w:eastAsia="Times New Roman" w:hAnsi="Times New Roman" w:cs="Times New Roman"/>
          <w:color w:val="1D1D1D"/>
          <w:sz w:val="24"/>
          <w:szCs w:val="24"/>
        </w:rPr>
        <w:t xml:space="preserve">. The resulting complex is the source of inhibition for calcineurin, and </w:t>
      </w:r>
      <w:r w:rsidR="00850F7B">
        <w:rPr>
          <w:rFonts w:ascii="Times New Roman" w:eastAsia="Times New Roman" w:hAnsi="Times New Roman" w:cs="Times New Roman"/>
          <w:color w:val="1D1D1D"/>
          <w:sz w:val="24"/>
          <w:szCs w:val="24"/>
        </w:rPr>
        <w:t xml:space="preserve">for the activated T-cells it </w:t>
      </w:r>
      <w:r w:rsidRPr="00914371">
        <w:rPr>
          <w:rFonts w:ascii="Times New Roman" w:eastAsia="Times New Roman" w:hAnsi="Times New Roman" w:cs="Times New Roman"/>
          <w:color w:val="1D1D1D"/>
          <w:sz w:val="24"/>
          <w:szCs w:val="24"/>
        </w:rPr>
        <w:t>consequentially halts the activation and dephosphorylation of the nuclear factor responsible for inflammatory reactions. Oral absorption of cyclosporine in slow and incomplete and the drug is highly lipophilic. The range of cyclosporine bioavailability ranges from 10% - 89%. The distribution of the drug is between 3 to 5 L/kg, which is extensive in peripheral tissues. In plasma, cyclosporine primarily binds itself lipoproteins and secondarily to albumin</w:t>
      </w:r>
      <w:r w:rsidR="00850F7B">
        <w:rPr>
          <w:rStyle w:val="EndnoteReference"/>
          <w:rFonts w:ascii="Times New Roman" w:eastAsia="Times New Roman" w:hAnsi="Times New Roman" w:cs="Times New Roman"/>
          <w:color w:val="1D1D1D"/>
          <w:sz w:val="24"/>
          <w:szCs w:val="24"/>
        </w:rPr>
        <w:endnoteReference w:id="3"/>
      </w:r>
      <w:r w:rsidRPr="00914371">
        <w:rPr>
          <w:rFonts w:ascii="Times New Roman" w:eastAsia="Times New Roman" w:hAnsi="Times New Roman" w:cs="Times New Roman"/>
          <w:color w:val="1D1D1D"/>
          <w:sz w:val="24"/>
          <w:szCs w:val="24"/>
        </w:rPr>
        <w:t xml:space="preserve">. </w:t>
      </w:r>
    </w:p>
    <w:p w:rsidR="00897EEA" w:rsidRPr="00914371" w:rsidRDefault="00A464C2" w:rsidP="00A464C2">
      <w:pPr>
        <w:spacing w:after="0" w:line="480" w:lineRule="auto"/>
        <w:jc w:val="center"/>
        <w:rPr>
          <w:rFonts w:ascii="Times New Roman" w:eastAsia="Times New Roman" w:hAnsi="Times New Roman" w:cs="Times New Roman"/>
          <w:b/>
          <w:color w:val="1D1D1D"/>
          <w:sz w:val="24"/>
          <w:szCs w:val="24"/>
        </w:rPr>
      </w:pPr>
      <w:r w:rsidRPr="00914371">
        <w:rPr>
          <w:rFonts w:ascii="Times New Roman" w:eastAsia="Times New Roman" w:hAnsi="Times New Roman" w:cs="Times New Roman"/>
          <w:b/>
          <w:color w:val="1D1D1D"/>
          <w:sz w:val="24"/>
          <w:szCs w:val="24"/>
        </w:rPr>
        <w:lastRenderedPageBreak/>
        <w:t>B</w:t>
      </w:r>
      <w:r w:rsidR="00897EEA" w:rsidRPr="00914371">
        <w:rPr>
          <w:rFonts w:ascii="Times New Roman" w:eastAsia="Times New Roman" w:hAnsi="Times New Roman" w:cs="Times New Roman"/>
          <w:b/>
          <w:color w:val="1D1D1D"/>
          <w:sz w:val="24"/>
          <w:szCs w:val="24"/>
        </w:rPr>
        <w:t>asis of the interaction</w:t>
      </w:r>
    </w:p>
    <w:p w:rsidR="00897EEA" w:rsidRPr="00914371" w:rsidRDefault="00897EEA" w:rsidP="00A464C2">
      <w:pPr>
        <w:spacing w:after="0" w:line="480" w:lineRule="auto"/>
        <w:ind w:firstLine="720"/>
        <w:rPr>
          <w:rFonts w:ascii="Times New Roman" w:eastAsia="Times New Roman" w:hAnsi="Times New Roman" w:cs="Times New Roman"/>
          <w:color w:val="1D1D1D"/>
          <w:sz w:val="24"/>
          <w:szCs w:val="24"/>
        </w:rPr>
      </w:pPr>
      <w:r w:rsidRPr="00914371">
        <w:rPr>
          <w:rFonts w:ascii="Times New Roman" w:eastAsia="Times New Roman" w:hAnsi="Times New Roman" w:cs="Times New Roman"/>
          <w:color w:val="1D1D1D"/>
          <w:sz w:val="24"/>
          <w:szCs w:val="24"/>
        </w:rPr>
        <w:t>Co-administration of diltiazem and cyclosporine increases the blood concentration of cyclosporin A (CyA), and metabolites 17 and 18 of CyA. However, the metabolites 1 and 21 did not increase. A week of administration of the two increased the mean whole body CyA trough level from 117ng/ml to 170ng/ml</w:t>
      </w:r>
      <w:r w:rsidR="00850F7B">
        <w:rPr>
          <w:rStyle w:val="EndnoteReference"/>
          <w:rFonts w:ascii="Times New Roman" w:eastAsia="Times New Roman" w:hAnsi="Times New Roman" w:cs="Times New Roman"/>
          <w:color w:val="1D1D1D"/>
          <w:sz w:val="24"/>
          <w:szCs w:val="24"/>
        </w:rPr>
        <w:endnoteReference w:id="4"/>
      </w:r>
      <w:r w:rsidRPr="00914371">
        <w:rPr>
          <w:rFonts w:ascii="Times New Roman" w:eastAsia="Times New Roman" w:hAnsi="Times New Roman" w:cs="Times New Roman"/>
          <w:color w:val="1D1D1D"/>
          <w:sz w:val="24"/>
          <w:szCs w:val="24"/>
        </w:rPr>
        <w:t>, as determined by HPLC. A similar increase was observed for metabolite 17 from 184ng/ml to 336ng/ml. The effect of diltiazem was probably from non-competitive inhibition of CyA-metabolism by the drug. However, the increased concentration of metabolite 17 may have been brought about by secondary inhibition of secondary metabolism steps.</w:t>
      </w:r>
    </w:p>
    <w:p w:rsidR="00897EEA" w:rsidRPr="00914371" w:rsidRDefault="00A464C2" w:rsidP="00A464C2">
      <w:pPr>
        <w:spacing w:after="0" w:line="480" w:lineRule="auto"/>
        <w:rPr>
          <w:rFonts w:ascii="Times New Roman" w:eastAsia="Times New Roman" w:hAnsi="Times New Roman" w:cs="Times New Roman"/>
          <w:b/>
          <w:color w:val="1D1D1D"/>
          <w:sz w:val="24"/>
          <w:szCs w:val="24"/>
        </w:rPr>
      </w:pPr>
      <w:r w:rsidRPr="00914371">
        <w:rPr>
          <w:rFonts w:ascii="Times New Roman" w:eastAsia="Times New Roman" w:hAnsi="Times New Roman" w:cs="Times New Roman"/>
          <w:b/>
          <w:color w:val="1D1D1D"/>
          <w:sz w:val="24"/>
          <w:szCs w:val="24"/>
        </w:rPr>
        <w:t>C</w:t>
      </w:r>
      <w:r w:rsidR="00897EEA" w:rsidRPr="00914371">
        <w:rPr>
          <w:rFonts w:ascii="Times New Roman" w:eastAsia="Times New Roman" w:hAnsi="Times New Roman" w:cs="Times New Roman"/>
          <w:b/>
          <w:color w:val="1D1D1D"/>
          <w:sz w:val="24"/>
          <w:szCs w:val="24"/>
        </w:rPr>
        <w:t xml:space="preserve">linical consequence(s) of the interaction, including adverse or toxic effects, therapeutic failure, or some other clinically relevant outcome, and why these consequences occur. </w:t>
      </w:r>
    </w:p>
    <w:p w:rsidR="00897EEA" w:rsidRPr="00914371" w:rsidRDefault="00897EEA" w:rsidP="00A464C2">
      <w:pPr>
        <w:spacing w:after="0" w:line="480" w:lineRule="auto"/>
        <w:ind w:firstLine="720"/>
        <w:rPr>
          <w:rFonts w:ascii="Times New Roman" w:eastAsia="Times New Roman" w:hAnsi="Times New Roman" w:cs="Times New Roman"/>
          <w:color w:val="1D1D1D"/>
          <w:sz w:val="24"/>
          <w:szCs w:val="24"/>
        </w:rPr>
      </w:pPr>
      <w:r w:rsidRPr="00914371">
        <w:rPr>
          <w:rFonts w:ascii="Times New Roman" w:eastAsia="Times New Roman" w:hAnsi="Times New Roman" w:cs="Times New Roman"/>
          <w:color w:val="1D1D1D"/>
          <w:sz w:val="24"/>
          <w:szCs w:val="24"/>
        </w:rPr>
        <w:t xml:space="preserve">Diltiazem in lower doses has few adverse effects. The safety consideration is the reason why the dosage is lower than the permissible levels to allow a significant reduction in the treatment of cyclosporine. The low dose of diltiazem enables the use of the drug in situations that it has been previously hitherto contra-indicated. </w:t>
      </w:r>
    </w:p>
    <w:p w:rsidR="00897EEA" w:rsidRPr="00914371" w:rsidRDefault="00A464C2" w:rsidP="00A464C2">
      <w:pPr>
        <w:spacing w:after="0" w:line="480" w:lineRule="auto"/>
        <w:rPr>
          <w:rFonts w:ascii="Times New Roman" w:eastAsia="Times New Roman" w:hAnsi="Times New Roman" w:cs="Times New Roman"/>
          <w:b/>
          <w:color w:val="1D1D1D"/>
          <w:sz w:val="24"/>
          <w:szCs w:val="24"/>
        </w:rPr>
      </w:pPr>
      <w:r w:rsidRPr="00914371">
        <w:rPr>
          <w:rFonts w:ascii="Times New Roman" w:eastAsia="Times New Roman" w:hAnsi="Times New Roman" w:cs="Times New Roman"/>
          <w:b/>
          <w:color w:val="1D1D1D"/>
          <w:sz w:val="24"/>
          <w:szCs w:val="24"/>
        </w:rPr>
        <w:t>A</w:t>
      </w:r>
      <w:r w:rsidR="00897EEA" w:rsidRPr="00914371">
        <w:rPr>
          <w:rFonts w:ascii="Times New Roman" w:eastAsia="Times New Roman" w:hAnsi="Times New Roman" w:cs="Times New Roman"/>
          <w:b/>
          <w:color w:val="1D1D1D"/>
          <w:sz w:val="24"/>
          <w:szCs w:val="24"/>
        </w:rPr>
        <w:t xml:space="preserve">ppropriate recommendation to minimize or avoid the interaction. </w:t>
      </w:r>
    </w:p>
    <w:p w:rsidR="00897EEA" w:rsidRPr="00914371" w:rsidRDefault="00897EEA" w:rsidP="00A464C2">
      <w:pPr>
        <w:spacing w:after="0" w:line="480" w:lineRule="auto"/>
        <w:ind w:firstLine="720"/>
        <w:rPr>
          <w:rFonts w:ascii="Times New Roman" w:eastAsia="Times New Roman" w:hAnsi="Times New Roman" w:cs="Times New Roman"/>
          <w:color w:val="1D1D1D"/>
          <w:sz w:val="24"/>
          <w:szCs w:val="24"/>
        </w:rPr>
      </w:pPr>
      <w:r w:rsidRPr="00914371">
        <w:rPr>
          <w:rFonts w:ascii="Times New Roman" w:eastAsia="Times New Roman" w:hAnsi="Times New Roman" w:cs="Times New Roman"/>
          <w:color w:val="1D1D1D"/>
          <w:sz w:val="24"/>
          <w:szCs w:val="24"/>
        </w:rPr>
        <w:t>There are significant variations between patients in any study, which necessitates individualized monitoring of blood cyclosporin before and after introducing diltiazem. Prior control should take account of the trough blood CsA concentration or CsA AUC, particularly for patients whose diltiazem dose is primarily for economic benefit. After each dose increment, a preferable stabilization period is two weeks after which the concentrations should be measured again. The recommended initial dose of diltiazem should 30 mg, whose increment will go to 60mg mane, then 60mg twice in a day</w:t>
      </w:r>
      <w:r w:rsidR="00850F7B">
        <w:rPr>
          <w:rStyle w:val="EndnoteReference"/>
          <w:rFonts w:ascii="Times New Roman" w:eastAsia="Times New Roman" w:hAnsi="Times New Roman" w:cs="Times New Roman"/>
          <w:color w:val="1D1D1D"/>
          <w:sz w:val="24"/>
          <w:szCs w:val="24"/>
        </w:rPr>
        <w:endnoteReference w:id="5"/>
      </w:r>
      <w:r w:rsidRPr="00914371">
        <w:rPr>
          <w:rFonts w:ascii="Times New Roman" w:eastAsia="Times New Roman" w:hAnsi="Times New Roman" w:cs="Times New Roman"/>
          <w:color w:val="1D1D1D"/>
          <w:sz w:val="24"/>
          <w:szCs w:val="24"/>
        </w:rPr>
        <w:t xml:space="preserve">. However, the increments should be based the magnitude </w:t>
      </w:r>
      <w:r w:rsidRPr="00914371">
        <w:rPr>
          <w:rFonts w:ascii="Times New Roman" w:eastAsia="Times New Roman" w:hAnsi="Times New Roman" w:cs="Times New Roman"/>
          <w:color w:val="1D1D1D"/>
          <w:sz w:val="24"/>
          <w:szCs w:val="24"/>
        </w:rPr>
        <w:lastRenderedPageBreak/>
        <w:t xml:space="preserve">of response and clinical situation of the patient. The administration of diltiazem should be concurrent with CsA doses. However, diltiazem should be discontinued if no observations indicate an increase in CsA concentrations and no clinical indication for diltiazem. </w:t>
      </w:r>
    </w:p>
    <w:p w:rsidR="00897EEA" w:rsidRPr="00914371" w:rsidRDefault="00897EEA" w:rsidP="00A464C2">
      <w:pPr>
        <w:spacing w:after="0" w:line="480" w:lineRule="auto"/>
        <w:rPr>
          <w:rFonts w:ascii="Times New Roman" w:eastAsia="Times New Roman" w:hAnsi="Times New Roman" w:cs="Times New Roman"/>
          <w:color w:val="1D1D1D"/>
          <w:sz w:val="24"/>
          <w:szCs w:val="24"/>
        </w:rPr>
      </w:pPr>
      <w:r w:rsidRPr="00914371">
        <w:rPr>
          <w:rFonts w:ascii="Times New Roman" w:eastAsia="Times New Roman" w:hAnsi="Times New Roman" w:cs="Times New Roman"/>
          <w:color w:val="1D1D1D"/>
          <w:sz w:val="24"/>
          <w:szCs w:val="24"/>
        </w:rPr>
        <w:br w:type="page"/>
      </w:r>
    </w:p>
    <w:p w:rsidR="00850F7B" w:rsidRPr="00850F7B" w:rsidRDefault="00897EEA" w:rsidP="00850F7B">
      <w:pPr>
        <w:spacing w:after="0" w:line="480" w:lineRule="auto"/>
        <w:rPr>
          <w:rFonts w:ascii="Times New Roman" w:eastAsia="Times New Roman" w:hAnsi="Times New Roman" w:cs="Times New Roman"/>
          <w:b/>
          <w:color w:val="1D1D1D"/>
          <w:sz w:val="24"/>
          <w:szCs w:val="24"/>
        </w:rPr>
      </w:pPr>
      <w:r w:rsidRPr="00850F7B">
        <w:rPr>
          <w:rFonts w:ascii="Times New Roman" w:eastAsia="Times New Roman" w:hAnsi="Times New Roman" w:cs="Times New Roman"/>
          <w:b/>
          <w:color w:val="1D1D1D"/>
          <w:sz w:val="24"/>
          <w:szCs w:val="24"/>
        </w:rPr>
        <w:lastRenderedPageBreak/>
        <w:t>References</w:t>
      </w:r>
    </w:p>
    <w:sectPr w:rsidR="00850F7B" w:rsidRPr="00850F7B" w:rsidSect="00DE0A3D">
      <w:headerReference w:type="default" r:id="rId7"/>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0D90" w:rsidRDefault="006B0D90" w:rsidP="00D44689">
      <w:pPr>
        <w:spacing w:after="0" w:line="240" w:lineRule="auto"/>
      </w:pPr>
      <w:r>
        <w:separator/>
      </w:r>
    </w:p>
  </w:endnote>
  <w:endnote w:type="continuationSeparator" w:id="0">
    <w:p w:rsidR="006B0D90" w:rsidRDefault="006B0D90" w:rsidP="00D44689">
      <w:pPr>
        <w:spacing w:after="0" w:line="240" w:lineRule="auto"/>
      </w:pPr>
      <w:r>
        <w:continuationSeparator/>
      </w:r>
    </w:p>
  </w:endnote>
  <w:endnote w:id="1">
    <w:p w:rsidR="00850F7B" w:rsidRPr="00850F7B" w:rsidRDefault="00850F7B" w:rsidP="00365F86">
      <w:pPr>
        <w:spacing w:after="0" w:line="480" w:lineRule="auto"/>
        <w:rPr>
          <w:rFonts w:ascii="Times New Roman" w:hAnsi="Times New Roman" w:cs="Times New Roman"/>
          <w:sz w:val="24"/>
          <w:szCs w:val="24"/>
        </w:rPr>
      </w:pPr>
      <w:r w:rsidRPr="00850F7B">
        <w:rPr>
          <w:rStyle w:val="EndnoteReference"/>
          <w:rFonts w:ascii="Times New Roman" w:hAnsi="Times New Roman" w:cs="Times New Roman"/>
          <w:sz w:val="24"/>
          <w:szCs w:val="24"/>
        </w:rPr>
        <w:endnoteRef/>
      </w:r>
      <w:r w:rsidRPr="00850F7B">
        <w:rPr>
          <w:rFonts w:ascii="Times New Roman" w:hAnsi="Times New Roman" w:cs="Times New Roman"/>
          <w:sz w:val="24"/>
          <w:szCs w:val="24"/>
        </w:rPr>
        <w:t xml:space="preserve"> </w:t>
      </w:r>
      <w:r w:rsidRPr="00850F7B">
        <w:rPr>
          <w:rFonts w:ascii="Times New Roman" w:hAnsi="Times New Roman" w:cs="Times New Roman"/>
          <w:color w:val="222222"/>
          <w:sz w:val="24"/>
          <w:szCs w:val="24"/>
          <w:shd w:val="clear" w:color="auto" w:fill="FFFFFF"/>
        </w:rPr>
        <w:t>Athukuri, B. L., &amp; Neerati, P. Enhanced Oral Bioavailability of Diltiazem by the Influence of Gallic Acid and Ellagic Acid in Male Wistar Rats: Involvement of CYP3A and P‐gp Inhibition. </w:t>
      </w:r>
      <w:r w:rsidRPr="00850F7B">
        <w:rPr>
          <w:rFonts w:ascii="Times New Roman" w:hAnsi="Times New Roman" w:cs="Times New Roman"/>
          <w:i/>
          <w:iCs/>
          <w:color w:val="222222"/>
          <w:sz w:val="24"/>
          <w:szCs w:val="24"/>
          <w:shd w:val="clear" w:color="auto" w:fill="FFFFFF"/>
        </w:rPr>
        <w:t>Phytotherapy Research</w:t>
      </w:r>
      <w:r w:rsidR="00A45215">
        <w:rPr>
          <w:rFonts w:ascii="Times New Roman" w:hAnsi="Times New Roman" w:cs="Times New Roman"/>
          <w:i/>
          <w:iCs/>
          <w:color w:val="222222"/>
          <w:sz w:val="24"/>
          <w:szCs w:val="24"/>
          <w:shd w:val="clear" w:color="auto" w:fill="FFFFFF"/>
        </w:rPr>
        <w:t xml:space="preserve">. </w:t>
      </w:r>
      <w:r w:rsidR="00A45215" w:rsidRPr="00A45215">
        <w:rPr>
          <w:rFonts w:ascii="Times New Roman" w:hAnsi="Times New Roman" w:cs="Times New Roman"/>
          <w:color w:val="222222"/>
          <w:sz w:val="24"/>
          <w:szCs w:val="24"/>
          <w:shd w:val="clear" w:color="auto" w:fill="FFFFFF"/>
        </w:rPr>
        <w:t>2017</w:t>
      </w:r>
      <w:r w:rsidR="00A45215">
        <w:rPr>
          <w:rFonts w:ascii="Times New Roman" w:hAnsi="Times New Roman" w:cs="Times New Roman"/>
          <w:color w:val="222222"/>
          <w:sz w:val="24"/>
          <w:szCs w:val="24"/>
          <w:shd w:val="clear" w:color="auto" w:fill="FFFFFF"/>
        </w:rPr>
        <w:t xml:space="preserve">; </w:t>
      </w:r>
      <w:r w:rsidRPr="00A45215">
        <w:rPr>
          <w:rFonts w:ascii="Times New Roman" w:hAnsi="Times New Roman" w:cs="Times New Roman"/>
          <w:iCs/>
          <w:color w:val="222222"/>
          <w:sz w:val="24"/>
          <w:szCs w:val="24"/>
          <w:shd w:val="clear" w:color="auto" w:fill="FFFFFF"/>
        </w:rPr>
        <w:t>31</w:t>
      </w:r>
      <w:r w:rsidRPr="00A45215">
        <w:rPr>
          <w:rFonts w:ascii="Times New Roman" w:hAnsi="Times New Roman" w:cs="Times New Roman"/>
          <w:color w:val="222222"/>
          <w:sz w:val="24"/>
          <w:szCs w:val="24"/>
          <w:shd w:val="clear" w:color="auto" w:fill="FFFFFF"/>
        </w:rPr>
        <w:t>(9), 1441-1448.</w:t>
      </w:r>
    </w:p>
  </w:endnote>
  <w:endnote w:id="2">
    <w:p w:rsidR="00850F7B" w:rsidRPr="00850F7B" w:rsidRDefault="00850F7B" w:rsidP="00365F86">
      <w:pPr>
        <w:pStyle w:val="EndnoteText"/>
        <w:spacing w:line="480" w:lineRule="auto"/>
        <w:rPr>
          <w:rFonts w:ascii="Times New Roman" w:hAnsi="Times New Roman" w:cs="Times New Roman"/>
          <w:sz w:val="24"/>
          <w:szCs w:val="24"/>
        </w:rPr>
      </w:pPr>
      <w:r w:rsidRPr="00850F7B">
        <w:rPr>
          <w:rStyle w:val="EndnoteReference"/>
          <w:rFonts w:ascii="Times New Roman" w:hAnsi="Times New Roman" w:cs="Times New Roman"/>
          <w:sz w:val="24"/>
          <w:szCs w:val="24"/>
        </w:rPr>
        <w:endnoteRef/>
      </w:r>
      <w:r w:rsidRPr="00850F7B">
        <w:rPr>
          <w:rFonts w:ascii="Times New Roman" w:hAnsi="Times New Roman" w:cs="Times New Roman"/>
          <w:sz w:val="24"/>
          <w:szCs w:val="24"/>
        </w:rPr>
        <w:t xml:space="preserve"> </w:t>
      </w:r>
      <w:r w:rsidRPr="00850F7B">
        <w:rPr>
          <w:rFonts w:ascii="Times New Roman" w:eastAsia="Times New Roman" w:hAnsi="Times New Roman" w:cs="Times New Roman"/>
          <w:color w:val="1D1D1D"/>
          <w:sz w:val="24"/>
          <w:szCs w:val="24"/>
        </w:rPr>
        <w:t>Damiano, S., Ciarcia, R., Montagnaro, S., Pagnini, U., Gar</w:t>
      </w:r>
      <w:r w:rsidR="00A45215">
        <w:rPr>
          <w:rFonts w:ascii="Times New Roman" w:eastAsia="Times New Roman" w:hAnsi="Times New Roman" w:cs="Times New Roman"/>
          <w:color w:val="1D1D1D"/>
          <w:sz w:val="24"/>
          <w:szCs w:val="24"/>
        </w:rPr>
        <w:t xml:space="preserve">ofano, T., Capasso, G., et al. </w:t>
      </w:r>
      <w:r w:rsidRPr="00850F7B">
        <w:rPr>
          <w:rFonts w:ascii="Times New Roman" w:eastAsia="Times New Roman" w:hAnsi="Times New Roman" w:cs="Times New Roman"/>
          <w:color w:val="1D1D1D"/>
          <w:sz w:val="24"/>
          <w:szCs w:val="24"/>
        </w:rPr>
        <w:t xml:space="preserve">Prevention of nephrotoxicity induced by cyclosporine‐A: role of antioxidants. Journal of cellular </w:t>
      </w:r>
      <w:r w:rsidR="00A45215">
        <w:rPr>
          <w:rFonts w:ascii="Times New Roman" w:eastAsia="Times New Roman" w:hAnsi="Times New Roman" w:cs="Times New Roman"/>
          <w:color w:val="1D1D1D"/>
          <w:sz w:val="24"/>
          <w:szCs w:val="24"/>
        </w:rPr>
        <w:t xml:space="preserve">biochemistry. </w:t>
      </w:r>
      <w:r w:rsidR="00A45215" w:rsidRPr="00850F7B">
        <w:rPr>
          <w:rFonts w:ascii="Times New Roman" w:eastAsia="Times New Roman" w:hAnsi="Times New Roman" w:cs="Times New Roman"/>
          <w:color w:val="1D1D1D"/>
          <w:sz w:val="24"/>
          <w:szCs w:val="24"/>
        </w:rPr>
        <w:t>2015</w:t>
      </w:r>
      <w:r w:rsidR="00A45215">
        <w:rPr>
          <w:rFonts w:ascii="Times New Roman" w:eastAsia="Times New Roman" w:hAnsi="Times New Roman" w:cs="Times New Roman"/>
          <w:color w:val="1D1D1D"/>
          <w:sz w:val="24"/>
          <w:szCs w:val="24"/>
        </w:rPr>
        <w:t>;</w:t>
      </w:r>
      <w:r w:rsidRPr="00850F7B">
        <w:rPr>
          <w:rFonts w:ascii="Times New Roman" w:eastAsia="Times New Roman" w:hAnsi="Times New Roman" w:cs="Times New Roman"/>
          <w:color w:val="1D1D1D"/>
          <w:sz w:val="24"/>
          <w:szCs w:val="24"/>
        </w:rPr>
        <w:t xml:space="preserve"> 116 (3), 364-369</w:t>
      </w:r>
    </w:p>
  </w:endnote>
  <w:endnote w:id="3">
    <w:p w:rsidR="00850F7B" w:rsidRPr="00850F7B" w:rsidRDefault="00850F7B" w:rsidP="00365F86">
      <w:pPr>
        <w:pStyle w:val="EndnoteText"/>
        <w:spacing w:line="480" w:lineRule="auto"/>
        <w:rPr>
          <w:rFonts w:ascii="Times New Roman" w:hAnsi="Times New Roman" w:cs="Times New Roman"/>
          <w:sz w:val="24"/>
          <w:szCs w:val="24"/>
        </w:rPr>
      </w:pPr>
      <w:r w:rsidRPr="00850F7B">
        <w:rPr>
          <w:rStyle w:val="EndnoteReference"/>
          <w:rFonts w:ascii="Times New Roman" w:hAnsi="Times New Roman" w:cs="Times New Roman"/>
          <w:sz w:val="24"/>
          <w:szCs w:val="24"/>
        </w:rPr>
        <w:endnoteRef/>
      </w:r>
      <w:r w:rsidRPr="00850F7B">
        <w:rPr>
          <w:rFonts w:ascii="Times New Roman" w:hAnsi="Times New Roman" w:cs="Times New Roman"/>
          <w:sz w:val="24"/>
          <w:szCs w:val="24"/>
        </w:rPr>
        <w:t xml:space="preserve"> </w:t>
      </w:r>
      <w:r w:rsidRPr="00850F7B">
        <w:rPr>
          <w:rFonts w:ascii="Times New Roman" w:eastAsia="Times New Roman" w:hAnsi="Times New Roman" w:cs="Times New Roman"/>
          <w:color w:val="1D1D1D"/>
          <w:sz w:val="24"/>
          <w:szCs w:val="24"/>
        </w:rPr>
        <w:t>Han, K., Pill</w:t>
      </w:r>
      <w:r w:rsidR="00A45215">
        <w:rPr>
          <w:rFonts w:ascii="Times New Roman" w:eastAsia="Times New Roman" w:hAnsi="Times New Roman" w:cs="Times New Roman"/>
          <w:color w:val="1D1D1D"/>
          <w:sz w:val="24"/>
          <w:szCs w:val="24"/>
        </w:rPr>
        <w:t>ai, V. C., &amp;Venkataramanan, R.</w:t>
      </w:r>
      <w:r w:rsidRPr="00850F7B">
        <w:rPr>
          <w:rFonts w:ascii="Times New Roman" w:eastAsia="Times New Roman" w:hAnsi="Times New Roman" w:cs="Times New Roman"/>
          <w:color w:val="1D1D1D"/>
          <w:sz w:val="24"/>
          <w:szCs w:val="24"/>
        </w:rPr>
        <w:t xml:space="preserve"> Population pharmacokinetics of cyclosporine in transplant recipients. The AAPS </w:t>
      </w:r>
      <w:r w:rsidR="00A45215">
        <w:rPr>
          <w:rFonts w:ascii="Times New Roman" w:eastAsia="Times New Roman" w:hAnsi="Times New Roman" w:cs="Times New Roman"/>
          <w:color w:val="1D1D1D"/>
          <w:sz w:val="24"/>
          <w:szCs w:val="24"/>
        </w:rPr>
        <w:t xml:space="preserve">journal. </w:t>
      </w:r>
      <w:r w:rsidR="00A45215" w:rsidRPr="00850F7B">
        <w:rPr>
          <w:rFonts w:ascii="Times New Roman" w:eastAsia="Times New Roman" w:hAnsi="Times New Roman" w:cs="Times New Roman"/>
          <w:color w:val="1D1D1D"/>
          <w:sz w:val="24"/>
          <w:szCs w:val="24"/>
        </w:rPr>
        <w:t>2013</w:t>
      </w:r>
      <w:r w:rsidR="00A45215">
        <w:rPr>
          <w:rFonts w:ascii="Times New Roman" w:eastAsia="Times New Roman" w:hAnsi="Times New Roman" w:cs="Times New Roman"/>
          <w:color w:val="1D1D1D"/>
          <w:sz w:val="24"/>
          <w:szCs w:val="24"/>
        </w:rPr>
        <w:t>;</w:t>
      </w:r>
      <w:r w:rsidRPr="00850F7B">
        <w:rPr>
          <w:rFonts w:ascii="Times New Roman" w:eastAsia="Times New Roman" w:hAnsi="Times New Roman" w:cs="Times New Roman"/>
          <w:color w:val="1D1D1D"/>
          <w:sz w:val="24"/>
          <w:szCs w:val="24"/>
        </w:rPr>
        <w:t xml:space="preserve"> 15 (4), 901-912</w:t>
      </w:r>
    </w:p>
  </w:endnote>
  <w:endnote w:id="4">
    <w:p w:rsidR="00850F7B" w:rsidRPr="00850F7B" w:rsidRDefault="00850F7B" w:rsidP="00365F86">
      <w:pPr>
        <w:spacing w:after="0" w:line="480" w:lineRule="auto"/>
        <w:rPr>
          <w:rFonts w:ascii="Times New Roman" w:hAnsi="Times New Roman" w:cs="Times New Roman"/>
          <w:sz w:val="24"/>
          <w:szCs w:val="24"/>
        </w:rPr>
      </w:pPr>
      <w:r w:rsidRPr="00850F7B">
        <w:rPr>
          <w:rStyle w:val="EndnoteReference"/>
          <w:rFonts w:ascii="Times New Roman" w:hAnsi="Times New Roman" w:cs="Times New Roman"/>
          <w:sz w:val="24"/>
          <w:szCs w:val="24"/>
        </w:rPr>
        <w:endnoteRef/>
      </w:r>
      <w:r w:rsidRPr="00850F7B">
        <w:rPr>
          <w:rFonts w:ascii="Times New Roman" w:hAnsi="Times New Roman" w:cs="Times New Roman"/>
          <w:sz w:val="24"/>
          <w:szCs w:val="24"/>
        </w:rPr>
        <w:t xml:space="preserve"> </w:t>
      </w:r>
      <w:r w:rsidR="00A45215">
        <w:rPr>
          <w:rFonts w:ascii="Times New Roman" w:hAnsi="Times New Roman" w:cs="Times New Roman"/>
          <w:color w:val="222222"/>
          <w:sz w:val="24"/>
          <w:szCs w:val="24"/>
          <w:shd w:val="clear" w:color="auto" w:fill="FFFFFF"/>
        </w:rPr>
        <w:t>Shalaby, U.</w:t>
      </w:r>
      <w:r w:rsidRPr="00850F7B">
        <w:rPr>
          <w:rFonts w:ascii="Times New Roman" w:hAnsi="Times New Roman" w:cs="Times New Roman"/>
          <w:color w:val="222222"/>
          <w:sz w:val="24"/>
          <w:szCs w:val="24"/>
          <w:shd w:val="clear" w:color="auto" w:fill="FFFFFF"/>
        </w:rPr>
        <w:t xml:space="preserve"> Diltiazem co treatment with cyclosporine for induction of disease remission in sight-threatening non-infectious intraocular inflammation. </w:t>
      </w:r>
      <w:r w:rsidRPr="00850F7B">
        <w:rPr>
          <w:rFonts w:ascii="Times New Roman" w:hAnsi="Times New Roman" w:cs="Times New Roman"/>
          <w:i/>
          <w:iCs/>
          <w:color w:val="222222"/>
          <w:sz w:val="24"/>
          <w:szCs w:val="24"/>
          <w:shd w:val="clear" w:color="auto" w:fill="FFFFFF"/>
        </w:rPr>
        <w:t>Japanese journal of ophthalmology</w:t>
      </w:r>
      <w:r w:rsidR="00A45215">
        <w:rPr>
          <w:rFonts w:ascii="Times New Roman" w:hAnsi="Times New Roman" w:cs="Times New Roman"/>
          <w:color w:val="222222"/>
          <w:sz w:val="24"/>
          <w:szCs w:val="24"/>
          <w:shd w:val="clear" w:color="auto" w:fill="FFFFFF"/>
        </w:rPr>
        <w:t xml:space="preserve">. </w:t>
      </w:r>
      <w:r w:rsidR="00A45215" w:rsidRPr="00850F7B">
        <w:rPr>
          <w:rFonts w:ascii="Times New Roman" w:hAnsi="Times New Roman" w:cs="Times New Roman"/>
          <w:color w:val="222222"/>
          <w:sz w:val="24"/>
          <w:szCs w:val="24"/>
          <w:shd w:val="clear" w:color="auto" w:fill="FFFFFF"/>
        </w:rPr>
        <w:t>2017</w:t>
      </w:r>
      <w:r w:rsidR="00A45215">
        <w:rPr>
          <w:rFonts w:ascii="Times New Roman" w:hAnsi="Times New Roman" w:cs="Times New Roman"/>
          <w:color w:val="222222"/>
          <w:sz w:val="24"/>
          <w:szCs w:val="24"/>
          <w:shd w:val="clear" w:color="auto" w:fill="FFFFFF"/>
        </w:rPr>
        <w:t xml:space="preserve">; </w:t>
      </w:r>
      <w:r w:rsidRPr="00850F7B">
        <w:rPr>
          <w:rFonts w:ascii="Times New Roman" w:hAnsi="Times New Roman" w:cs="Times New Roman"/>
          <w:i/>
          <w:iCs/>
          <w:color w:val="222222"/>
          <w:sz w:val="24"/>
          <w:szCs w:val="24"/>
          <w:shd w:val="clear" w:color="auto" w:fill="FFFFFF"/>
        </w:rPr>
        <w:t>61</w:t>
      </w:r>
      <w:r w:rsidRPr="00850F7B">
        <w:rPr>
          <w:rFonts w:ascii="Times New Roman" w:hAnsi="Times New Roman" w:cs="Times New Roman"/>
          <w:color w:val="222222"/>
          <w:sz w:val="24"/>
          <w:szCs w:val="24"/>
          <w:shd w:val="clear" w:color="auto" w:fill="FFFFFF"/>
        </w:rPr>
        <w:t>(2), 169-178.</w:t>
      </w:r>
    </w:p>
  </w:endnote>
  <w:endnote w:id="5">
    <w:p w:rsidR="00850F7B" w:rsidRDefault="00850F7B" w:rsidP="00365F86">
      <w:pPr>
        <w:spacing w:after="0" w:line="480" w:lineRule="auto"/>
      </w:pPr>
      <w:r>
        <w:rPr>
          <w:rStyle w:val="EndnoteReference"/>
        </w:rPr>
        <w:endnoteRef/>
      </w:r>
      <w:r>
        <w:t xml:space="preserve"> </w:t>
      </w:r>
      <w:r w:rsidRPr="00914371">
        <w:rPr>
          <w:rFonts w:ascii="Times New Roman" w:hAnsi="Times New Roman" w:cs="Times New Roman"/>
          <w:color w:val="222222"/>
          <w:sz w:val="24"/>
          <w:szCs w:val="24"/>
          <w:shd w:val="clear" w:color="auto" w:fill="FFFFFF"/>
        </w:rPr>
        <w:t>Guan, X. F., Li, D. Y., Yin, W. J., Ding, J. J., Zhou, L. Y.,</w:t>
      </w:r>
      <w:r w:rsidR="00A45215">
        <w:rPr>
          <w:rFonts w:ascii="Times New Roman" w:hAnsi="Times New Roman" w:cs="Times New Roman"/>
          <w:color w:val="222222"/>
          <w:sz w:val="24"/>
          <w:szCs w:val="24"/>
          <w:shd w:val="clear" w:color="auto" w:fill="FFFFFF"/>
        </w:rPr>
        <w:t xml:space="preserve"> Wang, J. L., ... &amp; Zuo, X. C. </w:t>
      </w:r>
      <w:r w:rsidRPr="00914371">
        <w:rPr>
          <w:rFonts w:ascii="Times New Roman" w:hAnsi="Times New Roman" w:cs="Times New Roman"/>
          <w:color w:val="222222"/>
          <w:sz w:val="24"/>
          <w:szCs w:val="24"/>
          <w:shd w:val="clear" w:color="auto" w:fill="FFFFFF"/>
        </w:rPr>
        <w:t>Population pharmacokinetic modeling of diltiazem in Chinese renal transplant recipients. </w:t>
      </w:r>
      <w:r w:rsidRPr="00914371">
        <w:rPr>
          <w:rFonts w:ascii="Times New Roman" w:hAnsi="Times New Roman" w:cs="Times New Roman"/>
          <w:i/>
          <w:iCs/>
          <w:color w:val="222222"/>
          <w:sz w:val="24"/>
          <w:szCs w:val="24"/>
          <w:shd w:val="clear" w:color="auto" w:fill="FFFFFF"/>
        </w:rPr>
        <w:t>European journal of drug metabolism and pharmacokinetics</w:t>
      </w:r>
      <w:r w:rsidR="00A45215">
        <w:rPr>
          <w:rFonts w:ascii="Times New Roman" w:hAnsi="Times New Roman" w:cs="Times New Roman"/>
          <w:color w:val="222222"/>
          <w:sz w:val="24"/>
          <w:szCs w:val="24"/>
          <w:shd w:val="clear" w:color="auto" w:fill="FFFFFF"/>
        </w:rPr>
        <w:t xml:space="preserve">. </w:t>
      </w:r>
      <w:r w:rsidR="00A45215" w:rsidRPr="00914371">
        <w:rPr>
          <w:rFonts w:ascii="Times New Roman" w:hAnsi="Times New Roman" w:cs="Times New Roman"/>
          <w:color w:val="222222"/>
          <w:sz w:val="24"/>
          <w:szCs w:val="24"/>
          <w:shd w:val="clear" w:color="auto" w:fill="FFFFFF"/>
        </w:rPr>
        <w:t>2018</w:t>
      </w:r>
      <w:r w:rsidR="00A45215">
        <w:rPr>
          <w:rFonts w:ascii="Times New Roman" w:hAnsi="Times New Roman" w:cs="Times New Roman"/>
          <w:color w:val="222222"/>
          <w:sz w:val="24"/>
          <w:szCs w:val="24"/>
          <w:shd w:val="clear" w:color="auto" w:fill="FFFFFF"/>
        </w:rPr>
        <w:t xml:space="preserve">; </w:t>
      </w:r>
      <w:r w:rsidRPr="00914371">
        <w:rPr>
          <w:rFonts w:ascii="Times New Roman" w:hAnsi="Times New Roman" w:cs="Times New Roman"/>
          <w:i/>
          <w:iCs/>
          <w:color w:val="222222"/>
          <w:sz w:val="24"/>
          <w:szCs w:val="24"/>
          <w:shd w:val="clear" w:color="auto" w:fill="FFFFFF"/>
        </w:rPr>
        <w:t>43</w:t>
      </w:r>
      <w:r w:rsidRPr="00914371">
        <w:rPr>
          <w:rFonts w:ascii="Times New Roman" w:hAnsi="Times New Roman" w:cs="Times New Roman"/>
          <w:color w:val="222222"/>
          <w:sz w:val="24"/>
          <w:szCs w:val="24"/>
          <w:shd w:val="clear" w:color="auto" w:fill="FFFFFF"/>
        </w:rPr>
        <w:t>(1), 55-62.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0D90" w:rsidRDefault="006B0D90" w:rsidP="00D44689">
      <w:pPr>
        <w:spacing w:after="0" w:line="240" w:lineRule="auto"/>
      </w:pPr>
      <w:r>
        <w:separator/>
      </w:r>
    </w:p>
  </w:footnote>
  <w:footnote w:type="continuationSeparator" w:id="0">
    <w:p w:rsidR="006B0D90" w:rsidRDefault="006B0D90" w:rsidP="00D446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519871"/>
      <w:docPartObj>
        <w:docPartGallery w:val="Page Numbers (Top of Page)"/>
        <w:docPartUnique/>
      </w:docPartObj>
    </w:sdtPr>
    <w:sdtEndPr/>
    <w:sdtContent>
      <w:p w:rsidR="00897EEA" w:rsidRDefault="004840A3">
        <w:pPr>
          <w:pStyle w:val="Header"/>
          <w:jc w:val="right"/>
        </w:pPr>
        <w:r w:rsidRPr="004840A3">
          <w:rPr>
            <w:rFonts w:ascii="Times New Roman" w:hAnsi="Times New Roman" w:cs="Times New Roman"/>
            <w:sz w:val="24"/>
          </w:rPr>
          <w:t xml:space="preserve">Name </w:t>
        </w:r>
        <w:r w:rsidR="002A5D05" w:rsidRPr="004840A3">
          <w:rPr>
            <w:rFonts w:ascii="Times New Roman" w:hAnsi="Times New Roman" w:cs="Times New Roman"/>
            <w:sz w:val="24"/>
          </w:rPr>
          <w:fldChar w:fldCharType="begin"/>
        </w:r>
        <w:r w:rsidR="004D328D" w:rsidRPr="004840A3">
          <w:rPr>
            <w:rFonts w:ascii="Times New Roman" w:hAnsi="Times New Roman" w:cs="Times New Roman"/>
            <w:sz w:val="24"/>
          </w:rPr>
          <w:instrText xml:space="preserve"> PAGE   \* MERGEFORMAT </w:instrText>
        </w:r>
        <w:r w:rsidR="002A5D05" w:rsidRPr="004840A3">
          <w:rPr>
            <w:rFonts w:ascii="Times New Roman" w:hAnsi="Times New Roman" w:cs="Times New Roman"/>
            <w:sz w:val="24"/>
          </w:rPr>
          <w:fldChar w:fldCharType="separate"/>
        </w:r>
        <w:r w:rsidR="001A6FD1">
          <w:rPr>
            <w:rFonts w:ascii="Times New Roman" w:hAnsi="Times New Roman" w:cs="Times New Roman"/>
            <w:noProof/>
            <w:sz w:val="24"/>
          </w:rPr>
          <w:t>1</w:t>
        </w:r>
        <w:r w:rsidR="002A5D05" w:rsidRPr="004840A3">
          <w:rPr>
            <w:rFonts w:ascii="Times New Roman" w:hAnsi="Times New Roman" w:cs="Times New Roman"/>
            <w:noProof/>
            <w:sz w:val="24"/>
          </w:rPr>
          <w:fldChar w:fldCharType="end"/>
        </w:r>
      </w:p>
    </w:sdtContent>
  </w:sdt>
  <w:p w:rsidR="00897EEA" w:rsidRDefault="00897E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rc0NzY2NjMwsbAwNzdR0lEKTi0uzszPAykwrgUArwLJYCwAAAA="/>
  </w:docVars>
  <w:rsids>
    <w:rsidRoot w:val="00B9298A"/>
    <w:rsid w:val="000C7BA0"/>
    <w:rsid w:val="0012537D"/>
    <w:rsid w:val="0013478F"/>
    <w:rsid w:val="001454E9"/>
    <w:rsid w:val="001A6FD1"/>
    <w:rsid w:val="001B5414"/>
    <w:rsid w:val="00224FB0"/>
    <w:rsid w:val="002445BA"/>
    <w:rsid w:val="002A5D05"/>
    <w:rsid w:val="00365F86"/>
    <w:rsid w:val="003C3962"/>
    <w:rsid w:val="004749E2"/>
    <w:rsid w:val="004840A3"/>
    <w:rsid w:val="004D328D"/>
    <w:rsid w:val="0065377E"/>
    <w:rsid w:val="006B0D90"/>
    <w:rsid w:val="00827AD5"/>
    <w:rsid w:val="00850F7B"/>
    <w:rsid w:val="008558CB"/>
    <w:rsid w:val="00897EEA"/>
    <w:rsid w:val="00914371"/>
    <w:rsid w:val="00930AA7"/>
    <w:rsid w:val="00A45215"/>
    <w:rsid w:val="00A464C2"/>
    <w:rsid w:val="00A626DD"/>
    <w:rsid w:val="00AB29AC"/>
    <w:rsid w:val="00AF105A"/>
    <w:rsid w:val="00B9298A"/>
    <w:rsid w:val="00D44689"/>
    <w:rsid w:val="00D607E2"/>
    <w:rsid w:val="00DE0A3D"/>
    <w:rsid w:val="00DE47FD"/>
    <w:rsid w:val="00E866D6"/>
    <w:rsid w:val="00FD08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0E661"/>
  <w15:docId w15:val="{D9CC38F8-9C6F-4E4A-969B-43463ECD3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05A"/>
  </w:style>
  <w:style w:type="paragraph" w:styleId="Heading1">
    <w:name w:val="heading 1"/>
    <w:basedOn w:val="Normal"/>
    <w:next w:val="Normal"/>
    <w:link w:val="Heading1Char"/>
    <w:uiPriority w:val="9"/>
    <w:qFormat/>
    <w:rsid w:val="00D44689"/>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7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78F"/>
    <w:rPr>
      <w:rFonts w:ascii="Tahoma" w:hAnsi="Tahoma" w:cs="Tahoma"/>
      <w:sz w:val="16"/>
      <w:szCs w:val="16"/>
    </w:rPr>
  </w:style>
  <w:style w:type="character" w:customStyle="1" w:styleId="Heading1Char">
    <w:name w:val="Heading 1 Char"/>
    <w:basedOn w:val="DefaultParagraphFont"/>
    <w:link w:val="Heading1"/>
    <w:uiPriority w:val="9"/>
    <w:rsid w:val="00D44689"/>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D44689"/>
  </w:style>
  <w:style w:type="paragraph" w:styleId="FootnoteText">
    <w:name w:val="footnote text"/>
    <w:basedOn w:val="Normal"/>
    <w:link w:val="FootnoteTextChar"/>
    <w:uiPriority w:val="99"/>
    <w:semiHidden/>
    <w:unhideWhenUsed/>
    <w:rsid w:val="00D446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4689"/>
    <w:rPr>
      <w:sz w:val="20"/>
      <w:szCs w:val="20"/>
    </w:rPr>
  </w:style>
  <w:style w:type="character" w:styleId="FootnoteReference">
    <w:name w:val="footnote reference"/>
    <w:basedOn w:val="DefaultParagraphFont"/>
    <w:uiPriority w:val="99"/>
    <w:semiHidden/>
    <w:unhideWhenUsed/>
    <w:rsid w:val="00D44689"/>
    <w:rPr>
      <w:vertAlign w:val="superscript"/>
    </w:rPr>
  </w:style>
  <w:style w:type="paragraph" w:styleId="Header">
    <w:name w:val="header"/>
    <w:basedOn w:val="Normal"/>
    <w:link w:val="HeaderChar"/>
    <w:uiPriority w:val="99"/>
    <w:unhideWhenUsed/>
    <w:rsid w:val="00897E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EEA"/>
  </w:style>
  <w:style w:type="paragraph" w:styleId="Footer">
    <w:name w:val="footer"/>
    <w:basedOn w:val="Normal"/>
    <w:link w:val="FooterChar"/>
    <w:uiPriority w:val="99"/>
    <w:unhideWhenUsed/>
    <w:rsid w:val="00897E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EEA"/>
  </w:style>
  <w:style w:type="paragraph" w:styleId="ListParagraph">
    <w:name w:val="List Paragraph"/>
    <w:basedOn w:val="Normal"/>
    <w:uiPriority w:val="34"/>
    <w:qFormat/>
    <w:rsid w:val="00850F7B"/>
    <w:pPr>
      <w:ind w:left="720"/>
      <w:contextualSpacing/>
    </w:pPr>
  </w:style>
  <w:style w:type="paragraph" w:styleId="EndnoteText">
    <w:name w:val="endnote text"/>
    <w:basedOn w:val="Normal"/>
    <w:link w:val="EndnoteTextChar"/>
    <w:uiPriority w:val="99"/>
    <w:semiHidden/>
    <w:unhideWhenUsed/>
    <w:rsid w:val="00850F7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50F7B"/>
    <w:rPr>
      <w:sz w:val="20"/>
      <w:szCs w:val="20"/>
    </w:rPr>
  </w:style>
  <w:style w:type="character" w:styleId="EndnoteReference">
    <w:name w:val="endnote reference"/>
    <w:basedOn w:val="DefaultParagraphFont"/>
    <w:uiPriority w:val="99"/>
    <w:semiHidden/>
    <w:unhideWhenUsed/>
    <w:rsid w:val="00850F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3361515">
      <w:bodyDiv w:val="1"/>
      <w:marLeft w:val="0"/>
      <w:marRight w:val="0"/>
      <w:marTop w:val="0"/>
      <w:marBottom w:val="0"/>
      <w:divBdr>
        <w:top w:val="none" w:sz="0" w:space="0" w:color="auto"/>
        <w:left w:val="none" w:sz="0" w:space="0" w:color="auto"/>
        <w:bottom w:val="none" w:sz="0" w:space="0" w:color="auto"/>
        <w:right w:val="none" w:sz="0" w:space="0" w:color="auto"/>
      </w:divBdr>
      <w:divsChild>
        <w:div w:id="1532378472">
          <w:marLeft w:val="0"/>
          <w:marRight w:val="0"/>
          <w:marTop w:val="0"/>
          <w:marBottom w:val="0"/>
          <w:divBdr>
            <w:top w:val="none" w:sz="0" w:space="0" w:color="auto"/>
            <w:left w:val="none" w:sz="0" w:space="0" w:color="auto"/>
            <w:bottom w:val="none" w:sz="0" w:space="0" w:color="auto"/>
            <w:right w:val="none" w:sz="0" w:space="0" w:color="auto"/>
          </w:divBdr>
        </w:div>
        <w:div w:id="1470586456">
          <w:marLeft w:val="0"/>
          <w:marRight w:val="0"/>
          <w:marTop w:val="0"/>
          <w:marBottom w:val="0"/>
          <w:divBdr>
            <w:top w:val="none" w:sz="0" w:space="0" w:color="auto"/>
            <w:left w:val="none" w:sz="0" w:space="0" w:color="auto"/>
            <w:bottom w:val="none" w:sz="0" w:space="0" w:color="auto"/>
            <w:right w:val="none" w:sz="0" w:space="0" w:color="auto"/>
          </w:divBdr>
        </w:div>
        <w:div w:id="1947881200">
          <w:marLeft w:val="0"/>
          <w:marRight w:val="0"/>
          <w:marTop w:val="0"/>
          <w:marBottom w:val="0"/>
          <w:divBdr>
            <w:top w:val="none" w:sz="0" w:space="0" w:color="auto"/>
            <w:left w:val="none" w:sz="0" w:space="0" w:color="auto"/>
            <w:bottom w:val="none" w:sz="0" w:space="0" w:color="auto"/>
            <w:right w:val="none" w:sz="0" w:space="0" w:color="auto"/>
          </w:divBdr>
        </w:div>
        <w:div w:id="2082172301">
          <w:marLeft w:val="0"/>
          <w:marRight w:val="0"/>
          <w:marTop w:val="0"/>
          <w:marBottom w:val="0"/>
          <w:divBdr>
            <w:top w:val="none" w:sz="0" w:space="0" w:color="auto"/>
            <w:left w:val="none" w:sz="0" w:space="0" w:color="auto"/>
            <w:bottom w:val="none" w:sz="0" w:space="0" w:color="auto"/>
            <w:right w:val="none" w:sz="0" w:space="0" w:color="auto"/>
          </w:divBdr>
        </w:div>
        <w:div w:id="1951929799">
          <w:marLeft w:val="0"/>
          <w:marRight w:val="0"/>
          <w:marTop w:val="0"/>
          <w:marBottom w:val="0"/>
          <w:divBdr>
            <w:top w:val="none" w:sz="0" w:space="0" w:color="auto"/>
            <w:left w:val="none" w:sz="0" w:space="0" w:color="auto"/>
            <w:bottom w:val="none" w:sz="0" w:space="0" w:color="auto"/>
            <w:right w:val="none" w:sz="0" w:space="0" w:color="auto"/>
          </w:divBdr>
        </w:div>
        <w:div w:id="19393616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Dam15</b:Tag>
    <b:SourceType>JournalArticle</b:SourceType>
    <b:Guid>{6C4B4EB1-C73C-4CB5-A5C7-9892A9A46F1F}</b:Guid>
    <b:Author>
      <b:Author>
        <b:NameList>
          <b:Person>
            <b:Last>Damiano</b:Last>
            <b:First>Sara</b:First>
          </b:Person>
          <b:Person>
            <b:Last>Ciarcia</b:Last>
            <b:First>Roberto</b:First>
          </b:Person>
          <b:Person>
            <b:Last>Montagnaro</b:Last>
            <b:First>Serena</b:First>
          </b:Person>
          <b:Person>
            <b:Last>Pagnini</b:Last>
            <b:First>Ugo</b:First>
          </b:Person>
          <b:Person>
            <b:Last>Garofano</b:Last>
            <b:First>Tiziana</b:First>
          </b:Person>
          <b:Person>
            <b:Last>Capasso</b:Last>
            <b:First>Giovambattista</b:First>
          </b:Person>
          <b:Person>
            <b:Last>Florio</b:Last>
            <b:First>Salvatore</b:First>
          </b:Person>
          <b:Person>
            <b:Last>Giordano</b:Last>
            <b:First>A.</b:First>
          </b:Person>
        </b:NameList>
      </b:Author>
    </b:Author>
    <b:Title>Prevention of nephrotoxicity induced by cyclosporine‐A: role of antioxidants.</b:Title>
    <b:JournalName>Journal of cellular biochemistry</b:JournalName>
    <b:Year>2015</b:Year>
    <b:Pages>364-369</b:Pages>
    <b:Volume>116</b:Volume>
    <b:Issue>3</b:Issue>
    <b:RefOrder>2</b:RefOrder>
  </b:Source>
  <b:Source>
    <b:Tag>Han131</b:Tag>
    <b:SourceType>JournalArticle</b:SourceType>
    <b:Guid>{FD5108A7-5511-44F5-A8F5-C455C380CCFC}</b:Guid>
    <b:Author>
      <b:Author>
        <b:NameList>
          <b:Person>
            <b:Last>Han</b:Last>
            <b:First>Kelong</b:First>
          </b:Person>
          <b:Person>
            <b:Last>Pillai</b:Last>
            <b:First>Venkateswaran</b:First>
            <b:Middle>C.</b:Middle>
          </b:Person>
          <b:Person>
            <b:Last>Venkataramanan</b:Last>
            <b:First>Raman</b:First>
          </b:Person>
        </b:NameList>
      </b:Author>
    </b:Author>
    <b:Title>Population pharmacokinetics of cyclosporine in transplant recipients</b:Title>
    <b:JournalName>The AAPS journal</b:JournalName>
    <b:Year>2013</b:Year>
    <b:Pages>901-912</b:Pages>
    <b:Volume>15</b:Volume>
    <b:Issue>4</b:Issue>
    <b:RefOrder>3</b:RefOrder>
  </b:Source>
  <b:Source>
    <b:Tag>Mad08</b:Tag>
    <b:SourceType>Book</b:SourceType>
    <b:Guid>{0D5F3870-E6A2-4F5C-9B0B-44135CB04E82}</b:Guid>
    <b:Author>
      <b:Author>
        <b:NameList>
          <b:Person>
            <b:Last>Maddison</b:Last>
            <b:First>Jill</b:First>
            <b:Middle>E.</b:Middle>
          </b:Person>
          <b:Person>
            <b:Last>Page</b:Last>
            <b:First>Stephen</b:First>
            <b:Middle>W.</b:Middle>
          </b:Person>
          <b:Person>
            <b:Last>Church</b:Last>
            <b:First>David</b:First>
            <b:Middle>B.</b:Middle>
          </b:Person>
        </b:NameList>
      </b:Author>
    </b:Author>
    <b:Title>Small Animal Clinical Pharmacology</b:Title>
    <b:Year>2008</b:Year>
    <b:Publisher>Elsevier Health Sciences</b:Publisher>
    <b:Volume>5</b:Volume>
    <b:RefOrder>1</b:RefOrder>
  </b:Source>
  <b:Source>
    <b:Tag>Bro90</b:Tag>
    <b:SourceType>JournalArticle</b:SourceType>
    <b:Guid>{157067E6-0378-478F-AF20-A040A353123C}</b:Guid>
    <b:Author>
      <b:Author>
        <b:NameList>
          <b:Person>
            <b:Last>Brockmöller</b:Last>
            <b:First>J.</b:First>
          </b:Person>
          <b:Person>
            <b:Last>Neumayer</b:Last>
            <b:First>H.</b:First>
            <b:Middle>H.</b:Middle>
          </b:Person>
          <b:Person>
            <b:Last>Wagner</b:Last>
            <b:First>K.</b:First>
          </b:Person>
          <b:Person>
            <b:Last>Weber</b:Last>
            <b:First>W.</b:First>
          </b:Person>
          <b:Person>
            <b:Last>Heinemeyer</b:Last>
            <b:First>G.</b:First>
          </b:Person>
          <b:Person>
            <b:Last>Kewitz</b:Last>
            <b:First>H.</b:First>
          </b:Person>
          <b:Person>
            <b:Last>Roots</b:Last>
            <b:First>I.</b:First>
          </b:Person>
        </b:NameList>
      </b:Author>
    </b:Author>
    <b:Title>Pharmacokinetic interaction between cyclosporin and diltiazem</b:Title>
    <b:Year>1990</b:Year>
    <b:Volume>38</b:Volume>
    <b:StandardNumber>https://doi.org/10.1007/BF00315023</b:StandardNumber>
    <b:Pages>237-242</b:Pages>
    <b:JournalName>European Journal of Clinical Pharmacology</b:JournalName>
    <b:RefOrder>4</b:RefOrder>
  </b:Source>
  <b:Source>
    <b:Tag>Jon97</b:Tag>
    <b:SourceType>JournalArticle</b:SourceType>
    <b:Guid>{3A25AD11-6059-48BD-8480-A9B783335839}</b:Guid>
    <b:Author>
      <b:Author>
        <b:NameList>
          <b:Person>
            <b:Last>Jones</b:Last>
            <b:First>T</b:First>
            <b:Middle>E</b:Middle>
          </b:Person>
          <b:Person>
            <b:Last>Morris</b:Last>
            <b:First>R</b:First>
            <b:Middle>G</b:Middle>
          </b:Person>
          <b:Person>
            <b:Last>Mathew</b:Last>
            <b:First>T</b:First>
            <b:Middle>H</b:Middle>
          </b:Person>
        </b:NameList>
      </b:Author>
    </b:Author>
    <b:Title>Diltiazem‐cyclosporin pharmacokinetic interaction—dose–response relationship</b:Title>
    <b:JournalName>British journal of clinical pharmacology</b:JournalName>
    <b:Year>1997</b:Year>
    <b:Pages>499-504</b:Pages>
    <b:Volume>44</b:Volume>
    <b:Issue>5</b:Issue>
    <b:RefOrder>5</b:RefOrder>
  </b:Source>
</b:Sources>
</file>

<file path=customXml/itemProps1.xml><?xml version="1.0" encoding="utf-8"?>
<ds:datastoreItem xmlns:ds="http://schemas.openxmlformats.org/officeDocument/2006/customXml" ds:itemID="{B9945E69-2D28-4357-A140-0F614CF63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3396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2020-03-06T22:16:00Z</dcterms:created>
  <dcterms:modified xsi:type="dcterms:W3CDTF">2020-03-06T22:16:00Z</dcterms:modified>
</cp:coreProperties>
</file>